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Södertälje kommunfullmäktige</w:t>
      </w:r>
    </w:p>
    <w:p>
      <w:pPr>
        <w:pStyle w:val="Heading1"/>
      </w:pPr>
      <w:r>
        <w:t xml:space="preserve">Fler ordningsvakter på skolor och torg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Södertälje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våldsbrott ligger över rikssnittet (Brå 2024). Skolor i centrala Södertälje rapporterar ökade incidenter. Trygghet är en förutsättning för lärande.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Södertälje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ordningsvakter med 8 heltidstjänster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placering sker på skolor och i centrala torg i samråd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samverkansavtal med Polisen upprättas.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trygghetsmätning genomförs årligen enligt Brå-modell.</w:t>
      </w:r>
    </w:p>
    <w:p>
      <w:pPr>
        <w:spacing w:before="360"/>
      </w:pPr>
    </w:p>
    <w:p>
      <w:r>
        <w:t xml:space="preserve">Södertälje,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Södertälje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2026-07-14T05:17:16.389Z</dcterms:created>
  <dcterms:modified xsi:type="dcterms:W3CDTF">2026-07-14T05:17:16.389Z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